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775B2" w:rsidTr="00B10E6F">
        <w:trPr>
          <w:jc w:val="center"/>
        </w:trPr>
        <w:tc>
          <w:tcPr>
            <w:tcW w:w="743" w:type="dxa"/>
            <w:hideMark/>
          </w:tcPr>
          <w:p w:rsidR="00D775B2" w:rsidRDefault="00D775B2" w:rsidP="00B10E6F">
            <w:pPr>
              <w:jc w:val="both"/>
              <w:rPr>
                <w:rFonts w:ascii="Arial (W1)" w:hAnsi="Arial (W1)"/>
                <w:b/>
                <w:bCs/>
                <w:sz w:val="28"/>
                <w:szCs w:val="28"/>
              </w:rPr>
            </w:pPr>
            <w:r>
              <w:rPr>
                <w:rFonts w:hint="cs"/>
                <w:b/>
                <w:bCs/>
                <w:sz w:val="28"/>
                <w:rtl/>
              </w:rPr>
              <w:t xml:space="preserve">לפני </w:t>
            </w:r>
          </w:p>
        </w:tc>
        <w:tc>
          <w:tcPr>
            <w:tcW w:w="8077" w:type="dxa"/>
            <w:gridSpan w:val="2"/>
            <w:hideMark/>
          </w:tcPr>
          <w:p w:rsidR="00D775B2" w:rsidRDefault="00D775B2" w:rsidP="00B10E6F">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ליאת דהן חיון</w:t>
                </w:r>
              </w:sdtContent>
            </w:sdt>
          </w:p>
          <w:p w:rsidR="00D775B2" w:rsidRPr="006816EC" w:rsidRDefault="00D775B2" w:rsidP="00B10E6F"/>
        </w:tc>
      </w:tr>
      <w:tr w:rsidR="00D775B2" w:rsidTr="00B10E6F">
        <w:trPr>
          <w:jc w:val="center"/>
        </w:trPr>
        <w:tc>
          <w:tcPr>
            <w:tcW w:w="3249" w:type="dxa"/>
            <w:gridSpan w:val="2"/>
          </w:tcPr>
          <w:p w:rsidR="00D775B2" w:rsidRDefault="00D775B2" w:rsidP="00B10E6F">
            <w:pPr>
              <w:bidi w:val="0"/>
              <w:rPr>
                <w:rFonts w:ascii="Arial (W1)" w:hAnsi="Arial (W1)"/>
                <w:b/>
                <w:bCs/>
                <w:noProof w:val="0"/>
                <w:sz w:val="28"/>
                <w:szCs w:val="28"/>
                <w:rtl/>
              </w:rPr>
            </w:pPr>
          </w:p>
          <w:sdt>
            <w:sdtPr>
              <w:rPr>
                <w:rFonts w:hint="cs"/>
                <w:rtl/>
              </w:rPr>
              <w:alias w:val="1180"/>
              <w:tag w:val="1180"/>
              <w:id w:val="-803768281"/>
              <w:text w:multiLine="1"/>
            </w:sdtPr>
            <w:sdtEndPr/>
            <w:sdtContent>
              <w:p w:rsidR="00D775B2" w:rsidRDefault="00D775B2" w:rsidP="00B10E6F">
                <w:pPr>
                  <w:rPr>
                    <w:rFonts w:ascii="Arial (W1)" w:hAnsi="Arial (W1)"/>
                    <w:b/>
                    <w:bCs/>
                    <w:noProof w:val="0"/>
                    <w:sz w:val="28"/>
                    <w:szCs w:val="28"/>
                  </w:rPr>
                </w:pPr>
                <w:r>
                  <w:rPr>
                    <w:rFonts w:hint="cs"/>
                    <w:b/>
                    <w:bCs/>
                    <w:noProof w:val="0"/>
                    <w:sz w:val="28"/>
                    <w:rtl/>
                  </w:rPr>
                  <w:t>תובעת</w:t>
                </w:r>
              </w:p>
            </w:sdtContent>
          </w:sdt>
        </w:tc>
        <w:tc>
          <w:tcPr>
            <w:tcW w:w="5571" w:type="dxa"/>
          </w:tcPr>
          <w:p w:rsidR="00D775B2" w:rsidRDefault="00D775B2" w:rsidP="00B10E6F">
            <w:pPr>
              <w:rPr>
                <w:rFonts w:ascii="Arial (W1)" w:hAnsi="Arial (W1)"/>
                <w:b/>
                <w:bCs/>
                <w:noProof w:val="0"/>
                <w:sz w:val="28"/>
                <w:szCs w:val="28"/>
              </w:rPr>
            </w:pPr>
            <w:r>
              <w:rPr>
                <w:rFonts w:ascii="Arial (W1)" w:hAnsi="Arial (W1)" w:hint="cs"/>
                <w:b/>
                <w:bCs/>
                <w:noProof w:val="0"/>
                <w:sz w:val="28"/>
                <w:szCs w:val="28"/>
                <w:rtl/>
              </w:rPr>
              <w:t xml:space="preserve">פלונית </w:t>
            </w:r>
          </w:p>
        </w:tc>
      </w:tr>
      <w:tr w:rsidR="00D775B2" w:rsidTr="00B10E6F">
        <w:trPr>
          <w:jc w:val="center"/>
        </w:trPr>
        <w:tc>
          <w:tcPr>
            <w:tcW w:w="8820" w:type="dxa"/>
            <w:gridSpan w:val="3"/>
          </w:tcPr>
          <w:p w:rsidR="00D775B2" w:rsidRDefault="00D775B2" w:rsidP="00B10E6F">
            <w:pPr>
              <w:rPr>
                <w:rFonts w:ascii="Arial (W1)" w:hAnsi="Arial (W1)"/>
                <w:b/>
                <w:bCs/>
                <w:noProof w:val="0"/>
                <w:sz w:val="28"/>
                <w:szCs w:val="28"/>
                <w:rtl/>
              </w:rPr>
            </w:pPr>
          </w:p>
          <w:p w:rsidR="00D775B2" w:rsidRDefault="00D775B2" w:rsidP="00B10E6F">
            <w:pPr>
              <w:jc w:val="center"/>
              <w:rPr>
                <w:b/>
                <w:bCs/>
                <w:noProof w:val="0"/>
                <w:sz w:val="28"/>
                <w:rtl/>
              </w:rPr>
            </w:pPr>
            <w:r>
              <w:rPr>
                <w:rFonts w:hint="cs"/>
                <w:b/>
                <w:bCs/>
                <w:noProof w:val="0"/>
                <w:sz w:val="28"/>
                <w:rtl/>
              </w:rPr>
              <w:t>נגד</w:t>
            </w:r>
          </w:p>
          <w:p w:rsidR="00D775B2" w:rsidRDefault="00D775B2" w:rsidP="00B10E6F">
            <w:pPr>
              <w:rPr>
                <w:rFonts w:ascii="Arial (W1)" w:hAnsi="Arial (W1)"/>
                <w:b/>
                <w:bCs/>
                <w:noProof w:val="0"/>
                <w:sz w:val="28"/>
                <w:szCs w:val="28"/>
              </w:rPr>
            </w:pPr>
          </w:p>
        </w:tc>
      </w:tr>
      <w:tr w:rsidR="00D775B2" w:rsidTr="00B10E6F">
        <w:trPr>
          <w:jc w:val="center"/>
        </w:trPr>
        <w:tc>
          <w:tcPr>
            <w:tcW w:w="3249" w:type="dxa"/>
            <w:gridSpan w:val="2"/>
          </w:tcPr>
          <w:p w:rsidR="00D775B2" w:rsidRDefault="00D775B2" w:rsidP="00B10E6F">
            <w:pPr>
              <w:rPr>
                <w:rFonts w:ascii="Arial (W1)" w:hAnsi="Arial (W1)"/>
                <w:b/>
                <w:bCs/>
                <w:noProof w:val="0"/>
                <w:sz w:val="28"/>
                <w:szCs w:val="28"/>
                <w:rtl/>
              </w:rPr>
            </w:pPr>
          </w:p>
          <w:p w:rsidR="00D775B2" w:rsidRDefault="00971096" w:rsidP="00B10E6F">
            <w:pPr>
              <w:rPr>
                <w:rFonts w:ascii="Arial (W1)" w:hAnsi="Arial (W1)"/>
                <w:b/>
                <w:bCs/>
                <w:noProof w:val="0"/>
                <w:sz w:val="28"/>
                <w:szCs w:val="28"/>
              </w:rPr>
            </w:pPr>
            <w:sdt>
              <w:sdtPr>
                <w:rPr>
                  <w:rFonts w:hint="cs"/>
                  <w:rtl/>
                </w:rPr>
                <w:alias w:val="1184"/>
                <w:tag w:val="1184"/>
                <w:id w:val="-910234160"/>
                <w:text w:multiLine="1"/>
              </w:sdtPr>
              <w:sdtEndPr/>
              <w:sdtContent>
                <w:r w:rsidR="00D775B2">
                  <w:rPr>
                    <w:rFonts w:hint="cs"/>
                    <w:b/>
                    <w:bCs/>
                    <w:noProof w:val="0"/>
                    <w:sz w:val="28"/>
                    <w:rtl/>
                  </w:rPr>
                  <w:t>נתבע</w:t>
                </w:r>
              </w:sdtContent>
            </w:sdt>
          </w:p>
        </w:tc>
        <w:tc>
          <w:tcPr>
            <w:tcW w:w="5571" w:type="dxa"/>
          </w:tcPr>
          <w:p w:rsidR="00D775B2" w:rsidRDefault="00D775B2" w:rsidP="00B10E6F">
            <w:pPr>
              <w:rPr>
                <w:rFonts w:ascii="Arial (W1)" w:hAnsi="Arial (W1)"/>
                <w:b/>
                <w:bCs/>
                <w:noProof w:val="0"/>
                <w:sz w:val="28"/>
                <w:szCs w:val="28"/>
              </w:rPr>
            </w:pPr>
            <w:r>
              <w:rPr>
                <w:rFonts w:ascii="Arial (W1)" w:hAnsi="Arial (W1)" w:hint="cs"/>
                <w:b/>
                <w:bCs/>
                <w:noProof w:val="0"/>
                <w:sz w:val="28"/>
                <w:szCs w:val="28"/>
                <w:rtl/>
              </w:rPr>
              <w:t xml:space="preserve">פלוני </w:t>
            </w:r>
          </w:p>
        </w:tc>
      </w:tr>
    </w:tbl>
    <w:p w:rsidR="00D775B2" w:rsidRDefault="00D775B2" w:rsidP="00D775B2">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775B2" w:rsidTr="00B10E6F">
        <w:trPr>
          <w:jc w:val="center"/>
        </w:trPr>
        <w:tc>
          <w:tcPr>
            <w:tcW w:w="8820" w:type="dxa"/>
          </w:tcPr>
          <w:p w:rsidR="00D775B2" w:rsidRDefault="00D775B2" w:rsidP="00B10E6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r>
        <w:rPr>
          <w:rFonts w:ascii="Arial" w:hAnsi="Arial" w:hint="cs"/>
          <w:noProof w:val="0"/>
          <w:rtl/>
        </w:rPr>
        <w:t>עניינה של התביעה לפניי, בעתירת התובעת לחייב את הנתבע בתשלום דמי המוהר הדחוי המוסכם ביניה</w:t>
      </w:r>
      <w:r>
        <w:rPr>
          <w:rFonts w:ascii="Arial" w:hAnsi="Arial" w:hint="eastAsia"/>
          <w:noProof w:val="0"/>
          <w:rtl/>
        </w:rPr>
        <w:t>ם</w:t>
      </w:r>
      <w:r>
        <w:rPr>
          <w:rFonts w:ascii="Arial" w:hAnsi="Arial" w:hint="cs"/>
          <w:noProof w:val="0"/>
          <w:rtl/>
        </w:rPr>
        <w:t xml:space="preserve"> בחוזה נישואין רשמי שנערך ביום 24.11.17.</w:t>
      </w:r>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r>
        <w:rPr>
          <w:rFonts w:ascii="Arial" w:hAnsi="Arial" w:hint="cs"/>
          <w:noProof w:val="0"/>
          <w:rtl/>
        </w:rPr>
        <w:t>הנתבע טען כטענה מקדמית שבית המשפט לענייני משפחה  נעדר סמכות עניינית לדון בתובענה,   וזו נתונה אופן בלעדי לבית הדין השרעי מכח סעיף 52 לדבר המלך במועצה על ארץ ישראל 1922.</w:t>
      </w:r>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r>
        <w:rPr>
          <w:rFonts w:ascii="Arial" w:hAnsi="Arial" w:hint="cs"/>
          <w:noProof w:val="0"/>
          <w:rtl/>
        </w:rPr>
        <w:t xml:space="preserve">לטענת התובעת, לבית המשפט לענייני משפחה  מסורה הסמכות העניינית לדון בתובענה וזאת בהתאם לסעיפים  1(1) (2) ו </w:t>
      </w:r>
      <w:r>
        <w:rPr>
          <w:rFonts w:ascii="Arial" w:hAnsi="Arial"/>
          <w:noProof w:val="0"/>
          <w:rtl/>
        </w:rPr>
        <w:t>–</w:t>
      </w:r>
      <w:r>
        <w:rPr>
          <w:rFonts w:ascii="Arial" w:hAnsi="Arial" w:hint="cs"/>
          <w:noProof w:val="0"/>
          <w:rtl/>
        </w:rPr>
        <w:t xml:space="preserve"> 3(א)(ב1) (ג) לחוק בית המשפט לענייני משפחה, תשנ"ה- 1995 (להלן: </w:t>
      </w:r>
      <w:r w:rsidRPr="004377AA">
        <w:rPr>
          <w:rFonts w:ascii="Arial" w:hAnsi="Arial" w:hint="cs"/>
          <w:b/>
          <w:bCs/>
          <w:noProof w:val="0"/>
          <w:rtl/>
        </w:rPr>
        <w:t>"החוק</w:t>
      </w:r>
      <w:r>
        <w:rPr>
          <w:rFonts w:ascii="Arial" w:hAnsi="Arial" w:hint="cs"/>
          <w:noProof w:val="0"/>
          <w:rtl/>
        </w:rPr>
        <w:t xml:space="preserve">"). </w:t>
      </w:r>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r>
        <w:rPr>
          <w:rFonts w:ascii="Arial" w:hAnsi="Arial" w:hint="cs"/>
          <w:noProof w:val="0"/>
          <w:rtl/>
        </w:rPr>
        <w:t xml:space="preserve">לאחר שעיינתי בטענות הצדדים ובהוראות הדין הצריכות, מצאתי כי בית המשפט נעדר סמכות עניינית לדון בסעד המבוקש, וזו נתונה כסמכות ייחודית  לבית הדין השרעי. אסביר; </w:t>
      </w:r>
    </w:p>
    <w:p w:rsidR="00D775B2" w:rsidRDefault="00D775B2" w:rsidP="00D775B2">
      <w:pPr>
        <w:spacing w:line="360" w:lineRule="auto"/>
        <w:jc w:val="both"/>
        <w:rPr>
          <w:rFonts w:ascii="Arial" w:hAnsi="Arial"/>
          <w:noProof w:val="0"/>
          <w:rtl/>
        </w:rPr>
      </w:pPr>
    </w:p>
    <w:p w:rsidR="00D775B2" w:rsidRDefault="00D775B2" w:rsidP="00D775B2">
      <w:pPr>
        <w:pStyle w:val="a9"/>
        <w:numPr>
          <w:ilvl w:val="0"/>
          <w:numId w:val="1"/>
        </w:numPr>
        <w:spacing w:line="360" w:lineRule="auto"/>
        <w:jc w:val="both"/>
        <w:rPr>
          <w:rFonts w:ascii="David" w:hAnsi="David"/>
          <w:noProof w:val="0"/>
        </w:rPr>
      </w:pPr>
      <w:r>
        <w:rPr>
          <w:rFonts w:ascii="Arial" w:hAnsi="Arial" w:hint="cs"/>
          <w:noProof w:val="0"/>
          <w:rtl/>
        </w:rPr>
        <w:t xml:space="preserve">כידוע, הסכם מוהר מהווה חלק בלתי נפרד מחוזה הנישואין, והזכות לקבלו, או קביעה שיש </w:t>
      </w:r>
      <w:r>
        <w:rPr>
          <w:rFonts w:ascii="David" w:hAnsi="David"/>
          <w:noProof w:val="0"/>
          <w:rtl/>
        </w:rPr>
        <w:t xml:space="preserve">להורת על שלילתו, </w:t>
      </w:r>
      <w:r>
        <w:rPr>
          <w:rFonts w:ascii="David" w:hAnsi="David" w:hint="cs"/>
          <w:noProof w:val="0"/>
          <w:rtl/>
        </w:rPr>
        <w:t>תעשה</w:t>
      </w:r>
      <w:r w:rsidRPr="00EA061A">
        <w:rPr>
          <w:rFonts w:ascii="David" w:hAnsi="David"/>
          <w:noProof w:val="0"/>
          <w:rtl/>
        </w:rPr>
        <w:t xml:space="preserve"> </w:t>
      </w:r>
      <w:r w:rsidRPr="00EA061A">
        <w:rPr>
          <w:rFonts w:ascii="David" w:hAnsi="David"/>
          <w:color w:val="000000"/>
          <w:shd w:val="clear" w:color="auto" w:fill="FFFFFF"/>
          <w:rtl/>
        </w:rPr>
        <w:t>בהתאם להלכות דתיות על פי אסכולות האיסלאם השונות</w:t>
      </w:r>
      <w:r w:rsidRPr="00EA061A">
        <w:rPr>
          <w:rFonts w:ascii="David" w:hAnsi="David"/>
          <w:noProof w:val="0"/>
          <w:rtl/>
        </w:rPr>
        <w:t xml:space="preserve">. </w:t>
      </w:r>
      <w:r>
        <w:rPr>
          <w:rFonts w:ascii="David" w:hAnsi="David" w:hint="cs"/>
          <w:noProof w:val="0"/>
          <w:rtl/>
        </w:rPr>
        <w:t xml:space="preserve">המוהר מחולק למוהר מיידי ומוהר דחוי הניתן במקרה של גירושין או מוות, ועיקרו בנוהג ולא בדין, ומטרותיו  שונות. </w:t>
      </w:r>
      <w:r w:rsidRPr="0062315E">
        <w:rPr>
          <w:rFonts w:ascii="David" w:hAnsi="David" w:hint="cs"/>
          <w:noProof w:val="0"/>
          <w:rtl/>
        </w:rPr>
        <w:t xml:space="preserve">סכום המוהר יכול להשתנות בקביעות מסוימות, ובכלל זה בחינת הגורם שהביא לסיום הנישואין. </w:t>
      </w:r>
    </w:p>
    <w:p w:rsidR="00D775B2" w:rsidRDefault="00D775B2" w:rsidP="00D775B2">
      <w:pPr>
        <w:pStyle w:val="a9"/>
        <w:spacing w:line="360" w:lineRule="auto"/>
        <w:ind w:left="360"/>
        <w:jc w:val="both"/>
        <w:rPr>
          <w:rFonts w:ascii="David" w:hAnsi="David"/>
          <w:noProof w:val="0"/>
        </w:rPr>
      </w:pPr>
    </w:p>
    <w:p w:rsidR="00D775B2" w:rsidRDefault="00D775B2" w:rsidP="00D775B2">
      <w:pPr>
        <w:pStyle w:val="a9"/>
        <w:numPr>
          <w:ilvl w:val="0"/>
          <w:numId w:val="1"/>
        </w:numPr>
        <w:spacing w:line="360" w:lineRule="auto"/>
        <w:jc w:val="both"/>
        <w:rPr>
          <w:rFonts w:ascii="David" w:hAnsi="David"/>
          <w:noProof w:val="0"/>
        </w:rPr>
      </w:pPr>
      <w:r>
        <w:rPr>
          <w:rFonts w:ascii="David" w:hAnsi="David" w:hint="cs"/>
          <w:noProof w:val="0"/>
          <w:rtl/>
        </w:rPr>
        <w:t xml:space="preserve">בעניינו, שני בני הזוג מוסלמים, ולפיכך חל בעניינם סעיף 52 לדבר המלך 1922 הקובע שלבית הדין המוסלמי סמכות שיפוט ייחודית בכל הקשור לענייני המצב האישי של המוסלמים, קרי, סמכות שיפוט ייחודית בענייני מעמד אישי;  </w:t>
      </w:r>
      <w:r w:rsidRPr="004377AA">
        <w:rPr>
          <w:rFonts w:ascii="David" w:hAnsi="David" w:hint="cs"/>
          <w:noProof w:val="0"/>
          <w:rtl/>
        </w:rPr>
        <w:t xml:space="preserve">בסעיף 3 (ב1) לחוק נקבע כי לבית משפט לענייני משפחה סמכות מקבילה לבית הדין השרעי לפי סימן 52 לדבר המלך במועצה, </w:t>
      </w:r>
      <w:r w:rsidRPr="004377AA">
        <w:rPr>
          <w:rFonts w:ascii="David" w:hAnsi="David" w:hint="cs"/>
          <w:noProof w:val="0"/>
          <w:u w:val="single"/>
          <w:rtl/>
        </w:rPr>
        <w:t>למעט</w:t>
      </w:r>
      <w:r w:rsidRPr="004377AA">
        <w:rPr>
          <w:rFonts w:ascii="David" w:hAnsi="David" w:hint="cs"/>
          <w:noProof w:val="0"/>
          <w:rtl/>
        </w:rPr>
        <w:t xml:space="preserve"> בענייני נישואין וגירושין. הפסיקה פירשה באופן רחב את המונח ענייני נישואין וגירושין, וכך למשל, בחוק שיפוט בתי הדין הרבניים (נישואין וגירושין), תשי"ג- 1953 אלה כוללות בין היתר תביעת כתובה. </w:t>
      </w:r>
    </w:p>
    <w:p w:rsidR="00D775B2" w:rsidRPr="004377AA" w:rsidRDefault="00D775B2" w:rsidP="00D775B2">
      <w:pPr>
        <w:pStyle w:val="a9"/>
        <w:rPr>
          <w:rFonts w:ascii="David" w:hAnsi="David"/>
          <w:noProof w:val="0"/>
          <w:rtl/>
        </w:rPr>
      </w:pPr>
    </w:p>
    <w:p w:rsidR="00D775B2" w:rsidRDefault="00D775B2" w:rsidP="00D775B2">
      <w:pPr>
        <w:pStyle w:val="a9"/>
        <w:numPr>
          <w:ilvl w:val="0"/>
          <w:numId w:val="1"/>
        </w:numPr>
        <w:spacing w:line="360" w:lineRule="auto"/>
        <w:jc w:val="both"/>
        <w:rPr>
          <w:rFonts w:ascii="David" w:hAnsi="David"/>
          <w:noProof w:val="0"/>
        </w:rPr>
      </w:pPr>
      <w:r w:rsidRPr="004377AA">
        <w:rPr>
          <w:rFonts w:ascii="David" w:hAnsi="David" w:hint="cs"/>
          <w:noProof w:val="0"/>
          <w:rtl/>
        </w:rPr>
        <w:t>תביעת המוהר, הינה כאמור חלק מהסכם הנישואין ואינה בבחינת עניין ממוני מובהק ו</w:t>
      </w:r>
      <w:r w:rsidRPr="004377AA">
        <w:rPr>
          <w:rFonts w:ascii="David" w:hAnsi="David"/>
          <w:noProof w:val="0"/>
          <w:rtl/>
        </w:rPr>
        <w:t>הזכות לקבלה או שלילת</w:t>
      </w:r>
      <w:r w:rsidRPr="004377AA">
        <w:rPr>
          <w:rFonts w:ascii="David" w:hAnsi="David" w:hint="cs"/>
          <w:noProof w:val="0"/>
          <w:rtl/>
        </w:rPr>
        <w:t xml:space="preserve">ה,  הינה בהתאם לנורמות הלכתיות דתיות. מכאן, אין לראות בה כסוגייה חוזית </w:t>
      </w:r>
      <w:r w:rsidRPr="004377AA">
        <w:rPr>
          <w:rFonts w:ascii="David" w:hAnsi="David" w:hint="cs"/>
          <w:noProof w:val="0"/>
          <w:rtl/>
        </w:rPr>
        <w:lastRenderedPageBreak/>
        <w:t>ממונית כנטען, ובהתאמה לכך לבית המשפט לענייני משפחה</w:t>
      </w:r>
      <w:r>
        <w:rPr>
          <w:rFonts w:ascii="David" w:hAnsi="David" w:hint="cs"/>
          <w:noProof w:val="0"/>
          <w:rtl/>
        </w:rPr>
        <w:t xml:space="preserve"> אין</w:t>
      </w:r>
      <w:r w:rsidRPr="004377AA">
        <w:rPr>
          <w:rFonts w:ascii="David" w:hAnsi="David" w:hint="cs"/>
          <w:noProof w:val="0"/>
          <w:rtl/>
        </w:rPr>
        <w:t xml:space="preserve"> סמכות מקבילה.  אפנה לעניין זה לפס"ד המפורט של כבוד השופטת א' אלון בתמ"ש (קריות) 13360-06. </w:t>
      </w:r>
    </w:p>
    <w:p w:rsidR="00D775B2" w:rsidRPr="004377AA" w:rsidRDefault="00D775B2" w:rsidP="00D775B2">
      <w:pPr>
        <w:pStyle w:val="a9"/>
        <w:rPr>
          <w:rFonts w:ascii="David" w:hAnsi="David"/>
          <w:noProof w:val="0"/>
          <w:rtl/>
        </w:rPr>
      </w:pPr>
    </w:p>
    <w:p w:rsidR="00D775B2" w:rsidRDefault="00D775B2" w:rsidP="00D775B2">
      <w:pPr>
        <w:pStyle w:val="a9"/>
        <w:numPr>
          <w:ilvl w:val="0"/>
          <w:numId w:val="1"/>
        </w:numPr>
        <w:spacing w:line="360" w:lineRule="auto"/>
        <w:jc w:val="both"/>
        <w:rPr>
          <w:rFonts w:ascii="David" w:hAnsi="David"/>
          <w:noProof w:val="0"/>
        </w:rPr>
      </w:pPr>
      <w:r>
        <w:rPr>
          <w:rFonts w:ascii="David" w:hAnsi="David" w:hint="cs"/>
          <w:noProof w:val="0"/>
          <w:rtl/>
        </w:rPr>
        <w:t xml:space="preserve">בנסיבות אלה, וכדומה לדין החל בין יהודים, קרי, כי תביעות שעניינן חיוב מכח כתובה יידונו לפני בית הדין בלבד, כך גם לעניין בני זוג בני הדת המוסלמית. מכאן, אני קובעת שהמדובר בסעד אשר לבית הדין השרעי סמכות ייחודית להידרש לו. בהתאמה, דין התביעה להידחות וכך הנני מורה. </w:t>
      </w:r>
    </w:p>
    <w:p w:rsidR="00D775B2" w:rsidRPr="0040629B" w:rsidRDefault="00D775B2" w:rsidP="00D775B2">
      <w:pPr>
        <w:pStyle w:val="a9"/>
        <w:rPr>
          <w:rFonts w:ascii="David" w:hAnsi="David"/>
          <w:noProof w:val="0"/>
          <w:rtl/>
        </w:rPr>
      </w:pPr>
    </w:p>
    <w:p w:rsidR="00D775B2" w:rsidRPr="0040629B" w:rsidRDefault="00D775B2" w:rsidP="00D775B2">
      <w:pPr>
        <w:pStyle w:val="a9"/>
        <w:numPr>
          <w:ilvl w:val="0"/>
          <w:numId w:val="1"/>
        </w:numPr>
        <w:spacing w:line="360" w:lineRule="auto"/>
        <w:jc w:val="both"/>
        <w:rPr>
          <w:rFonts w:ascii="David" w:hAnsi="David"/>
          <w:noProof w:val="0"/>
          <w:rtl/>
        </w:rPr>
      </w:pPr>
      <w:r w:rsidRPr="0040629B">
        <w:rPr>
          <w:rFonts w:ascii="David" w:hAnsi="David" w:hint="cs"/>
          <w:noProof w:val="0"/>
          <w:rtl/>
        </w:rPr>
        <w:t>התובעת ת</w:t>
      </w:r>
      <w:r>
        <w:rPr>
          <w:rFonts w:ascii="David" w:hAnsi="David" w:hint="cs"/>
          <w:noProof w:val="0"/>
          <w:rtl/>
        </w:rPr>
        <w:t>י</w:t>
      </w:r>
      <w:r w:rsidRPr="0040629B">
        <w:rPr>
          <w:rFonts w:ascii="David" w:hAnsi="David" w:hint="cs"/>
          <w:noProof w:val="0"/>
          <w:rtl/>
        </w:rPr>
        <w:t>שא בהוצאות הנתבע בגין הליך זה בסך של 1,500 ₪ אשר ישולמו תוך 30 ימים. לא יעשה כן, יישא הסכום הפרשי ריבית והצמדה החל מהיום ועד ליום התשלום המלא בפועל.</w:t>
      </w:r>
    </w:p>
    <w:p w:rsidR="00D775B2" w:rsidRDefault="00D775B2" w:rsidP="00D775B2">
      <w:pPr>
        <w:spacing w:line="360" w:lineRule="auto"/>
        <w:jc w:val="both"/>
        <w:rPr>
          <w:rFonts w:ascii="David" w:hAnsi="David"/>
          <w:noProof w:val="0"/>
          <w:rtl/>
        </w:rPr>
      </w:pPr>
    </w:p>
    <w:p w:rsidR="00D775B2" w:rsidRDefault="00D775B2" w:rsidP="00D775B2">
      <w:pPr>
        <w:spacing w:line="360" w:lineRule="auto"/>
        <w:jc w:val="both"/>
        <w:rPr>
          <w:rFonts w:ascii="David" w:hAnsi="David"/>
          <w:noProof w:val="0"/>
          <w:rtl/>
        </w:rPr>
      </w:pPr>
    </w:p>
    <w:p w:rsidR="00D775B2" w:rsidRPr="00B61CD5" w:rsidRDefault="00D775B2" w:rsidP="00D775B2">
      <w:pPr>
        <w:spacing w:line="360" w:lineRule="auto"/>
        <w:jc w:val="both"/>
        <w:rPr>
          <w:rFonts w:ascii="David" w:hAnsi="David"/>
          <w:noProof w:val="0"/>
          <w:rtl/>
        </w:rPr>
      </w:pPr>
      <w:r w:rsidRPr="004177D1">
        <w:rPr>
          <w:rFonts w:ascii="David" w:hAnsi="David" w:hint="cs"/>
          <w:b/>
          <w:bCs/>
          <w:noProof w:val="0"/>
          <w:u w:val="single"/>
          <w:rtl/>
        </w:rPr>
        <w:t>המזכירות</w:t>
      </w:r>
      <w:r>
        <w:rPr>
          <w:rFonts w:ascii="David" w:hAnsi="David" w:hint="cs"/>
          <w:noProof w:val="0"/>
          <w:rtl/>
        </w:rPr>
        <w:t xml:space="preserve"> תמציא פס"ד לצדדים ותסגור את התיק. </w:t>
      </w:r>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מרץ 2024</w:t>
          </w:r>
        </w:sdtContent>
      </w:sdt>
      <w:r>
        <w:rPr>
          <w:rFonts w:ascii="Arial" w:hAnsi="Arial"/>
          <w:noProof w:val="0"/>
          <w:rtl/>
        </w:rPr>
        <w:t>, בהעדר הצדדים.</w:t>
      </w:r>
    </w:p>
    <w:p w:rsidR="00D775B2" w:rsidRDefault="00D775B2" w:rsidP="00D775B2">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6D9910779B42489E8FA40B6C17C4FC33"/>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D775B2" w:rsidRDefault="00971096" w:rsidP="00D775B2">
      <w:pPr>
        <w:spacing w:line="360" w:lineRule="auto"/>
        <w:ind w:left="3600" w:firstLine="720"/>
        <w:rPr>
          <w:rFonts w:ascii="Arial" w:hAnsi="Arial"/>
          <w:noProof w:val="0"/>
          <w:rtl/>
        </w:rPr>
      </w:pPr>
      <w:sdt>
        <w:sdtPr>
          <w:rPr>
            <w:rtl/>
          </w:rPr>
          <w:alias w:val="1237"/>
          <w:tag w:val="1237"/>
          <w:id w:val="373736249"/>
          <w:text w:multiLine="1"/>
        </w:sdtPr>
        <w:sdtEndPr/>
        <w:sdtContent>
          <w:r w:rsidR="00D775B2">
            <w:rPr>
              <w:rFonts w:ascii="Arial" w:hAnsi="Arial"/>
              <w:noProof w:val="0"/>
              <w:rtl/>
            </w:rPr>
            <w:t>חתימה</w:t>
          </w:r>
        </w:sdtContent>
      </w:sdt>
    </w:p>
    <w:p w:rsidR="00D775B2" w:rsidRDefault="00D775B2" w:rsidP="00D775B2">
      <w:pPr>
        <w:spacing w:line="360" w:lineRule="auto"/>
        <w:jc w:val="both"/>
        <w:rPr>
          <w:rFonts w:ascii="Arial" w:hAnsi="Arial"/>
          <w:noProof w:val="0"/>
          <w:rtl/>
        </w:rPr>
      </w:pPr>
    </w:p>
    <w:p w:rsidR="00D775B2" w:rsidRDefault="00D775B2" w:rsidP="00D775B2">
      <w:pPr>
        <w:spacing w:line="360" w:lineRule="auto"/>
        <w:jc w:val="both"/>
        <w:rPr>
          <w:rFonts w:ascii="Arial" w:hAnsi="Arial"/>
          <w:noProof w:val="0"/>
          <w:rtl/>
        </w:rPr>
      </w:pPr>
    </w:p>
    <w:p w:rsidR="00A30CB0" w:rsidRDefault="00A30CB0"/>
    <w:sectPr w:rsidR="00A30CB0" w:rsidSect="00903896">
      <w:headerReference w:type="even" r:id="rId7"/>
      <w:headerReference w:type="default" r:id="rId8"/>
      <w:footerReference w:type="even" r:id="rId9"/>
      <w:footerReference w:type="default" r:id="rId10"/>
      <w:headerReference w:type="first" r:id="rId11"/>
      <w:footerReference w:type="first" r:id="rId12"/>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096" w:rsidRDefault="00971096">
      <w:r>
        <w:separator/>
      </w:r>
    </w:p>
  </w:endnote>
  <w:endnote w:type="continuationSeparator" w:id="0">
    <w:p w:rsidR="00971096" w:rsidRDefault="0097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C7C" w:rsidRDefault="0097109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D775B2">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BB7255">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BB7255">
      <w:rPr>
        <w:rStyle w:val="a8"/>
        <w:rtl/>
      </w:rPr>
      <w:t>2</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C7C" w:rsidRDefault="009710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096" w:rsidRDefault="00971096">
      <w:r>
        <w:separator/>
      </w:r>
    </w:p>
  </w:footnote>
  <w:footnote w:type="continuationSeparator" w:id="0">
    <w:p w:rsidR="00971096" w:rsidRDefault="00971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C7C" w:rsidRDefault="009710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775B2">
    <w:pPr>
      <w:pStyle w:val="a3"/>
      <w:jc w:val="center"/>
      <w:rPr>
        <w:rFonts w:cs="FrankRuehl"/>
        <w:noProof w:val="0"/>
        <w:sz w:val="28"/>
        <w:szCs w:val="28"/>
        <w:rtl/>
      </w:rPr>
    </w:pPr>
    <w:r>
      <w:rPr>
        <w:rFonts w:cs="FrankRuehl"/>
        <w:sz w:val="28"/>
        <w:szCs w:val="28"/>
      </w:rPr>
      <w:drawing>
        <wp:inline distT="0" distB="0" distL="0" distR="0" wp14:anchorId="0D82429A" wp14:editId="5941C0F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B61CD5">
      <w:trPr>
        <w:trHeight w:hRule="exact" w:val="426"/>
        <w:jc w:val="center"/>
      </w:trPr>
      <w:sdt>
        <w:sdtPr>
          <w:rPr>
            <w:rtl/>
          </w:rPr>
          <w:alias w:val="1174"/>
          <w:tag w:val="1174"/>
          <w:id w:val="-1775709220"/>
          <w:text/>
        </w:sdtPr>
        <w:sdtEndPr/>
        <w:sdtContent>
          <w:tc>
            <w:tcPr>
              <w:tcW w:w="8505" w:type="dxa"/>
            </w:tcPr>
            <w:p w:rsidR="00694556" w:rsidRDefault="00D775B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B61CD5">
      <w:trPr>
        <w:trHeight w:val="337"/>
        <w:jc w:val="center"/>
      </w:trPr>
      <w:tc>
        <w:tcPr>
          <w:tcW w:w="8505" w:type="dxa"/>
        </w:tcPr>
        <w:p w:rsidR="00694556" w:rsidRDefault="00971096">
          <w:pPr>
            <w:rPr>
              <w:b/>
              <w:bCs/>
              <w:noProof w:val="0"/>
              <w:sz w:val="26"/>
              <w:szCs w:val="26"/>
              <w:rtl/>
            </w:rPr>
          </w:pPr>
          <w:sdt>
            <w:sdtPr>
              <w:rPr>
                <w:b/>
                <w:bCs/>
                <w:noProof w:val="0"/>
                <w:sz w:val="26"/>
                <w:szCs w:val="26"/>
                <w:rtl/>
              </w:rPr>
              <w:alias w:val="1170"/>
              <w:tag w:val="1170"/>
              <w:id w:val="299038016"/>
              <w:text w:multiLine="1"/>
            </w:sdtPr>
            <w:sdtEndPr/>
            <w:sdtContent>
              <w:r w:rsidR="00D775B2">
                <w:rPr>
                  <w:b/>
                  <w:bCs/>
                  <w:noProof w:val="0"/>
                  <w:sz w:val="26"/>
                  <w:szCs w:val="26"/>
                  <w:rtl/>
                </w:rPr>
                <w:t>תלה"מ</w:t>
              </w:r>
            </w:sdtContent>
          </w:sdt>
          <w:r w:rsidR="00D775B2">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775B2">
                <w:rPr>
                  <w:b/>
                  <w:bCs/>
                  <w:noProof w:val="0"/>
                  <w:sz w:val="26"/>
                  <w:szCs w:val="26"/>
                  <w:rtl/>
                </w:rPr>
                <w:t>76627-01-23</w:t>
              </w:r>
            </w:sdtContent>
          </w:sdt>
          <w:r w:rsidR="00D775B2">
            <w:rPr>
              <w:b/>
              <w:bCs/>
              <w:noProof w:val="0"/>
              <w:sz w:val="26"/>
              <w:szCs w:val="26"/>
              <w:rtl/>
            </w:rPr>
            <w:t xml:space="preserve"> </w:t>
          </w:r>
          <w:sdt>
            <w:sdtPr>
              <w:rPr>
                <w:b/>
                <w:bCs/>
                <w:noProof w:val="0"/>
                <w:sz w:val="26"/>
                <w:szCs w:val="26"/>
                <w:rtl/>
              </w:rPr>
              <w:alias w:val="1172"/>
              <w:tag w:val="1172"/>
              <w:id w:val="-1742169342"/>
              <w:text w:multiLine="1"/>
            </w:sdtPr>
            <w:sdtEndPr/>
            <w:sdtContent/>
          </w:sdt>
        </w:p>
        <w:p w:rsidR="00957C90" w:rsidRPr="00957C90" w:rsidRDefault="00D775B2" w:rsidP="00B61CD5">
          <w:pPr>
            <w:rPr>
              <w:b/>
              <w:bCs/>
              <w:noProof w:val="0"/>
              <w:sz w:val="26"/>
              <w:szCs w:val="26"/>
              <w:rtl/>
            </w:rPr>
          </w:pPr>
          <w:r>
            <w:rPr>
              <w:rFonts w:hint="cs"/>
              <w:b/>
              <w:bCs/>
              <w:noProof w:val="0"/>
              <w:sz w:val="2"/>
              <w:szCs w:val="2"/>
              <w:rtl/>
            </w:rPr>
            <w:t>;</w:t>
          </w:r>
          <w:sdt>
            <w:sdtPr>
              <w:rPr>
                <w:rFonts w:hint="cs"/>
                <w:sz w:val="20"/>
                <w:szCs w:val="20"/>
                <w:rtl/>
              </w:rPr>
              <w:alias w:val="1572"/>
              <w:tag w:val="1572"/>
              <w:id w:val="940805582"/>
              <w:showingPlcHdr/>
              <w:text w:multiLine="1"/>
            </w:sdtPr>
            <w:sdtEndPr/>
            <w:sdtContent>
              <w:r>
                <w:rPr>
                  <w:sz w:val="20"/>
                  <w:szCs w:val="20"/>
                  <w:rtl/>
                </w:rPr>
                <w:t xml:space="preserve">     </w:t>
              </w:r>
            </w:sdtContent>
          </w:sdt>
          <w:r>
            <w:rPr>
              <w:rFonts w:hint="cs"/>
              <w:sz w:val="20"/>
              <w:szCs w:val="20"/>
              <w:rtl/>
            </w:rPr>
            <w:t xml:space="preserve"> </w:t>
          </w:r>
          <w:bookmarkEnd w:id="0"/>
        </w:p>
      </w:tc>
    </w:tr>
  </w:tbl>
  <w:p w:rsidR="00694556" w:rsidRDefault="00D775B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C7C" w:rsidRDefault="009710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930983"/>
    <w:multiLevelType w:val="hybridMultilevel"/>
    <w:tmpl w:val="2DB000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5B2"/>
    <w:rsid w:val="003B182D"/>
    <w:rsid w:val="00971096"/>
    <w:rsid w:val="00A30CB0"/>
    <w:rsid w:val="00BB7255"/>
    <w:rsid w:val="00C15BBC"/>
    <w:rsid w:val="00D775B2"/>
    <w:rsid w:val="00F031C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22B2CC-019E-4108-88C1-9E18FCA01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5B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75B2"/>
    <w:pPr>
      <w:tabs>
        <w:tab w:val="center" w:pos="4153"/>
        <w:tab w:val="right" w:pos="8306"/>
      </w:tabs>
    </w:pPr>
  </w:style>
  <w:style w:type="character" w:customStyle="1" w:styleId="a4">
    <w:name w:val="כותרת עליונה תו"/>
    <w:basedOn w:val="a0"/>
    <w:link w:val="a3"/>
    <w:rsid w:val="00D775B2"/>
    <w:rPr>
      <w:rFonts w:ascii="Times New Roman" w:eastAsia="Times New Roman" w:hAnsi="Times New Roman" w:cs="David"/>
      <w:noProof/>
      <w:sz w:val="24"/>
      <w:szCs w:val="24"/>
    </w:rPr>
  </w:style>
  <w:style w:type="paragraph" w:styleId="a5">
    <w:name w:val="footer"/>
    <w:basedOn w:val="a"/>
    <w:link w:val="a6"/>
    <w:rsid w:val="00D775B2"/>
    <w:pPr>
      <w:tabs>
        <w:tab w:val="center" w:pos="4153"/>
        <w:tab w:val="right" w:pos="8306"/>
      </w:tabs>
    </w:pPr>
  </w:style>
  <w:style w:type="character" w:customStyle="1" w:styleId="a6">
    <w:name w:val="כותרת תחתונה תו"/>
    <w:basedOn w:val="a0"/>
    <w:link w:val="a5"/>
    <w:rsid w:val="00D775B2"/>
    <w:rPr>
      <w:rFonts w:ascii="Times New Roman" w:eastAsia="Times New Roman" w:hAnsi="Times New Roman" w:cs="David"/>
      <w:noProof/>
      <w:sz w:val="24"/>
      <w:szCs w:val="24"/>
    </w:rPr>
  </w:style>
  <w:style w:type="table" w:styleId="a7">
    <w:name w:val="Table Grid"/>
    <w:basedOn w:val="a1"/>
    <w:rsid w:val="00D775B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775B2"/>
  </w:style>
  <w:style w:type="paragraph" w:styleId="a9">
    <w:name w:val="List Paragraph"/>
    <w:basedOn w:val="a"/>
    <w:uiPriority w:val="34"/>
    <w:qFormat/>
    <w:rsid w:val="00D775B2"/>
    <w:pPr>
      <w:ind w:left="720"/>
      <w:contextualSpacing/>
    </w:pPr>
  </w:style>
  <w:style w:type="character" w:styleId="aa">
    <w:name w:val="line number"/>
    <w:basedOn w:val="a0"/>
    <w:uiPriority w:val="99"/>
    <w:semiHidden/>
    <w:unhideWhenUsed/>
    <w:rsid w:val="00D7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9910779B42489E8FA40B6C17C4FC33"/>
        <w:category>
          <w:name w:val="כללי"/>
          <w:gallery w:val="placeholder"/>
        </w:category>
        <w:types>
          <w:type w:val="bbPlcHdr"/>
        </w:types>
        <w:behaviors>
          <w:behavior w:val="content"/>
        </w:behaviors>
        <w:guid w:val="{E1AC7E5A-CA12-4447-8CAD-39A2B95D0F0E}"/>
      </w:docPartPr>
      <w:docPartBody>
        <w:p w:rsidR="003A27E2" w:rsidRDefault="00556DA3" w:rsidP="00556DA3">
          <w:pPr>
            <w:pStyle w:val="6D9910779B42489E8FA40B6C17C4FC33"/>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DA3"/>
    <w:rsid w:val="00244E0A"/>
    <w:rsid w:val="003A27E2"/>
    <w:rsid w:val="00556DA3"/>
    <w:rsid w:val="005B18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56DA3"/>
    <w:rPr>
      <w:color w:val="808080"/>
    </w:rPr>
  </w:style>
  <w:style w:type="paragraph" w:customStyle="1" w:styleId="6D9910779B42489E8FA40B6C17C4FC33">
    <w:name w:val="6D9910779B42489E8FA40B6C17C4FC33"/>
    <w:rsid w:val="00556DA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2040</Characters>
  <Application>Microsoft Office Word</Application>
  <DocSecurity>0</DocSecurity>
  <Lines>17</Lines>
  <Paragraphs>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דהן חיון</dc:creator>
  <cp:keywords/>
  <dc:description/>
  <cp:lastModifiedBy>אסתר טטרואשילי</cp:lastModifiedBy>
  <cp:revision>2</cp:revision>
  <dcterms:created xsi:type="dcterms:W3CDTF">2024-12-05T07:44:00Z</dcterms:created>
  <dcterms:modified xsi:type="dcterms:W3CDTF">2024-12-05T07:44:00Z</dcterms:modified>
</cp:coreProperties>
</file>